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0EEEBC6"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5A6E60">
        <w:rPr>
          <w:rFonts w:cs="Arial"/>
          <w:sz w:val="24"/>
          <w:szCs w:val="24"/>
        </w:rPr>
        <w:t>9</w:t>
      </w:r>
      <w:r w:rsidRPr="00207615">
        <w:rPr>
          <w:rFonts w:cs="Arial"/>
          <w:sz w:val="24"/>
          <w:szCs w:val="24"/>
        </w:rPr>
        <w:tab/>
      </w:r>
      <w:r w:rsidRPr="004E3B8E">
        <w:rPr>
          <w:rFonts w:cs="Arial"/>
          <w:color w:val="000000"/>
          <w:sz w:val="24"/>
          <w:szCs w:val="24"/>
        </w:rPr>
        <w:t>R4-</w:t>
      </w:r>
      <w:r w:rsidR="00E5226D">
        <w:rPr>
          <w:rFonts w:cs="Arial"/>
          <w:color w:val="000000"/>
          <w:sz w:val="24"/>
          <w:szCs w:val="24"/>
        </w:rPr>
        <w:t>1815867</w:t>
      </w:r>
    </w:p>
    <w:p w14:paraId="2700B07E" w14:textId="73B4DCE7" w:rsidR="003175E3" w:rsidRPr="008C4D7E" w:rsidRDefault="00D87FF8" w:rsidP="003175E3">
      <w:pPr>
        <w:pStyle w:val="Header"/>
        <w:rPr>
          <w:noProof w:val="0"/>
          <w:lang w:val="en-GB"/>
        </w:rPr>
      </w:pPr>
      <w:r>
        <w:rPr>
          <w:rFonts w:eastAsia="SimSun"/>
          <w:sz w:val="24"/>
          <w:szCs w:val="24"/>
          <w:lang w:eastAsia="zh-CN"/>
        </w:rPr>
        <w:t>Spokane, WA, USA</w:t>
      </w:r>
      <w:r w:rsidR="003175E3" w:rsidRPr="002E7CB7">
        <w:rPr>
          <w:rFonts w:eastAsia="SimSun"/>
          <w:sz w:val="24"/>
          <w:szCs w:val="24"/>
          <w:lang w:eastAsia="zh-CN"/>
        </w:rPr>
        <w:t xml:space="preserve">, </w:t>
      </w:r>
      <w:r>
        <w:rPr>
          <w:rFonts w:eastAsia="SimSun"/>
          <w:sz w:val="24"/>
          <w:szCs w:val="24"/>
          <w:lang w:eastAsia="zh-CN"/>
        </w:rPr>
        <w:t>12</w:t>
      </w:r>
      <w:r w:rsidR="0061129F">
        <w:rPr>
          <w:rFonts w:eastAsia="SimSun"/>
          <w:sz w:val="24"/>
          <w:szCs w:val="24"/>
          <w:vertAlign w:val="superscript"/>
          <w:lang w:eastAsia="zh-CN"/>
        </w:rPr>
        <w:t>th</w:t>
      </w:r>
      <w:r w:rsidR="001F55D4">
        <w:rPr>
          <w:rFonts w:eastAsia="SimSun"/>
          <w:sz w:val="24"/>
          <w:szCs w:val="24"/>
          <w:lang w:eastAsia="zh-CN"/>
        </w:rPr>
        <w:t xml:space="preserve"> – </w:t>
      </w:r>
      <w:r w:rsidR="00B1447F">
        <w:rPr>
          <w:rFonts w:eastAsia="SimSun"/>
          <w:sz w:val="24"/>
          <w:szCs w:val="24"/>
          <w:lang w:eastAsia="zh-CN"/>
        </w:rPr>
        <w:t>1</w:t>
      </w:r>
      <w:r>
        <w:rPr>
          <w:rFonts w:eastAsia="SimSun"/>
          <w:sz w:val="24"/>
          <w:szCs w:val="24"/>
          <w:lang w:eastAsia="zh-CN"/>
        </w:rPr>
        <w:t>6</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Nov</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87677F7"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5226D">
        <w:rPr>
          <w:rFonts w:ascii="Arial" w:hAnsi="Arial"/>
          <w:sz w:val="24"/>
          <w:lang w:val="en-US"/>
        </w:rPr>
        <w:t>6.12.2.2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1D5987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D1E02">
        <w:rPr>
          <w:rFonts w:ascii="Arial" w:hAnsi="Arial"/>
          <w:sz w:val="24"/>
          <w:lang w:val="en-US"/>
        </w:rPr>
        <w:t>8Rx TDD simulation results and discussion</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6A46455F" w:rsidR="003A3520" w:rsidRDefault="009046D1" w:rsidP="00017422">
      <w:pPr>
        <w:pStyle w:val="Heading1"/>
        <w:rPr>
          <w:lang w:val="en-US"/>
        </w:rPr>
      </w:pPr>
      <w:r>
        <w:rPr>
          <w:lang w:val="en-US"/>
        </w:rPr>
        <w:t>Introduction</w:t>
      </w:r>
    </w:p>
    <w:p w14:paraId="24E0464C" w14:textId="53804012" w:rsidR="006D1E02" w:rsidRPr="006D1E02" w:rsidRDefault="006D1E02" w:rsidP="006D1E02">
      <w:pPr>
        <w:rPr>
          <w:lang w:val="en-US"/>
        </w:rPr>
      </w:pPr>
      <w:r>
        <w:rPr>
          <w:lang w:val="en-US"/>
        </w:rPr>
        <w:t xml:space="preserve">In RAN4#87 meeting, simulation cases for 8Rx were outlined and agreed on [1]. We presented FDD simulation results for PDSCH performance and SDR cases in [2] and [3]. In this paper, we present the simulation results for TDD TM2 and TM3 </w:t>
      </w:r>
      <w:proofErr w:type="gramStart"/>
      <w:r>
        <w:rPr>
          <w:lang w:val="en-US"/>
        </w:rPr>
        <w:t>and also</w:t>
      </w:r>
      <w:proofErr w:type="gramEnd"/>
      <w:r>
        <w:rPr>
          <w:lang w:val="en-US"/>
        </w:rPr>
        <w:t xml:space="preserve"> propose to define requirements for only TDD moving forward.</w:t>
      </w:r>
    </w:p>
    <w:p w14:paraId="2B5DFDAE" w14:textId="095D923F" w:rsidR="007C61D6" w:rsidRDefault="006D1E02" w:rsidP="002B5E9D">
      <w:pPr>
        <w:pStyle w:val="Heading1"/>
        <w:rPr>
          <w:lang w:val="en-US"/>
        </w:rPr>
      </w:pPr>
      <w:r>
        <w:rPr>
          <w:lang w:val="en-US"/>
        </w:rPr>
        <w:t xml:space="preserve">TDD simulation results for rank </w:t>
      </w:r>
      <w:r>
        <w:rPr>
          <w:rFonts w:cs="Arial"/>
          <w:lang w:val="en-US"/>
        </w:rPr>
        <w:t>≤</w:t>
      </w:r>
      <w:r>
        <w:rPr>
          <w:lang w:val="en-US"/>
        </w:rPr>
        <w:t xml:space="preserve"> 4</w:t>
      </w:r>
    </w:p>
    <w:p w14:paraId="314BD9FE" w14:textId="14A447AB" w:rsidR="00835227" w:rsidRDefault="00835227" w:rsidP="00835227">
      <w:r>
        <w:t xml:space="preserve">Earlier RAN4 agreed to introduce new TM2 and TM3 demodulation requirement for 8Rx UE. While the applicability of this requirement still needs to be discussed, in Figure 1 and 2, we present the throughput result for TM2 and TM3 based on the agreed simulation assumption [4]. </w:t>
      </w:r>
      <w:proofErr w:type="gramStart"/>
      <w:r>
        <w:t>It can be seen that 70%</w:t>
      </w:r>
      <w:proofErr w:type="gramEnd"/>
      <w:r>
        <w:t xml:space="preserve"> of the configured throughput can be achieved at the SNR of -0.5dB and </w:t>
      </w:r>
      <w:r w:rsidR="00FC5528">
        <w:t>2.5</w:t>
      </w:r>
      <w:r>
        <w:t>dB, respectively.</w:t>
      </w:r>
    </w:p>
    <w:p w14:paraId="65C02631" w14:textId="621FB82D" w:rsidR="006D1E02" w:rsidRPr="00E343D3" w:rsidRDefault="00E343D3" w:rsidP="006D1E02">
      <w:pPr>
        <w:rPr>
          <w:b/>
          <w:lang w:val="en-US"/>
        </w:rPr>
      </w:pPr>
      <w:r>
        <w:rPr>
          <w:b/>
        </w:rPr>
        <w:t xml:space="preserve">Observation 1. Without considering the implementation margin, 70% of the maximum configured throughput can be achieved at the SNR of -0.5dB and 2.5dB for </w:t>
      </w:r>
      <w:r w:rsidR="00C34D58">
        <w:rPr>
          <w:b/>
        </w:rPr>
        <w:t xml:space="preserve">TDD </w:t>
      </w:r>
      <w:r>
        <w:rPr>
          <w:b/>
        </w:rPr>
        <w:t>TM2 and TM3 8Rx test cases, respectively.</w:t>
      </w:r>
    </w:p>
    <w:p w14:paraId="06DA3BC4" w14:textId="77777777" w:rsidR="00FC5528" w:rsidRDefault="00FC5528" w:rsidP="00FC5528">
      <w:pPr>
        <w:keepNext/>
        <w:jc w:val="center"/>
      </w:pPr>
      <w:r>
        <w:rPr>
          <w:noProof/>
          <w:lang w:val="en-US"/>
        </w:rPr>
        <w:drawing>
          <wp:inline distT="0" distB="0" distL="0" distR="0" wp14:anchorId="490BD0B2" wp14:editId="66F678B3">
            <wp:extent cx="4563373" cy="3422530"/>
            <wp:effectExtent l="0" t="0" r="8890" b="6985"/>
            <wp:docPr id="1" name="Picture 1"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2.jpg"/>
                    <pic:cNvPicPr/>
                  </pic:nvPicPr>
                  <pic:blipFill>
                    <a:blip r:embed="rId8">
                      <a:extLst>
                        <a:ext uri="{28A0092B-C50C-407E-A947-70E740481C1C}">
                          <a14:useLocalDpi xmlns:a14="http://schemas.microsoft.com/office/drawing/2010/main" val="0"/>
                        </a:ext>
                      </a:extLst>
                    </a:blip>
                    <a:stretch>
                      <a:fillRect/>
                    </a:stretch>
                  </pic:blipFill>
                  <pic:spPr>
                    <a:xfrm>
                      <a:off x="0" y="0"/>
                      <a:ext cx="4569777" cy="3427333"/>
                    </a:xfrm>
                    <a:prstGeom prst="rect">
                      <a:avLst/>
                    </a:prstGeom>
                  </pic:spPr>
                </pic:pic>
              </a:graphicData>
            </a:graphic>
          </wp:inline>
        </w:drawing>
      </w:r>
    </w:p>
    <w:p w14:paraId="1342571A" w14:textId="38C6B884" w:rsidR="00FC5528" w:rsidRDefault="00FC5528" w:rsidP="00FC552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TM2 8Rx demodulation simulation result: 16QAM ½ rate EVA5 </w:t>
      </w:r>
      <w:proofErr w:type="spellStart"/>
      <w:r>
        <w:t>MedCorr</w:t>
      </w:r>
      <w:proofErr w:type="spellEnd"/>
      <w:r>
        <w:t xml:space="preserve"> B</w:t>
      </w:r>
    </w:p>
    <w:p w14:paraId="27980399" w14:textId="0DCEDDE6" w:rsidR="00FC5528" w:rsidRDefault="00FC5528" w:rsidP="00FC5528">
      <w:pPr>
        <w:rPr>
          <w:lang w:val="en-US"/>
        </w:rPr>
      </w:pPr>
    </w:p>
    <w:p w14:paraId="4D6451EF" w14:textId="77777777" w:rsidR="00FC5528" w:rsidRDefault="00FC5528" w:rsidP="00FC5528">
      <w:pPr>
        <w:keepNext/>
        <w:jc w:val="center"/>
      </w:pPr>
      <w:r>
        <w:rPr>
          <w:noProof/>
          <w:lang w:val="en-US"/>
        </w:rPr>
        <w:lastRenderedPageBreak/>
        <w:drawing>
          <wp:inline distT="0" distB="0" distL="0" distR="0" wp14:anchorId="16CF755D" wp14:editId="788D2F4D">
            <wp:extent cx="4347713" cy="3260785"/>
            <wp:effectExtent l="0" t="0" r="0" b="0"/>
            <wp:docPr id="2" name="Picture 2" descr="A close up of text on a white background&#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M3.jpg"/>
                    <pic:cNvPicPr/>
                  </pic:nvPicPr>
                  <pic:blipFill>
                    <a:blip r:embed="rId9">
                      <a:extLst>
                        <a:ext uri="{28A0092B-C50C-407E-A947-70E740481C1C}">
                          <a14:useLocalDpi xmlns:a14="http://schemas.microsoft.com/office/drawing/2010/main" val="0"/>
                        </a:ext>
                      </a:extLst>
                    </a:blip>
                    <a:stretch>
                      <a:fillRect/>
                    </a:stretch>
                  </pic:blipFill>
                  <pic:spPr>
                    <a:xfrm>
                      <a:off x="0" y="0"/>
                      <a:ext cx="4364772" cy="3273579"/>
                    </a:xfrm>
                    <a:prstGeom prst="rect">
                      <a:avLst/>
                    </a:prstGeom>
                  </pic:spPr>
                </pic:pic>
              </a:graphicData>
            </a:graphic>
          </wp:inline>
        </w:drawing>
      </w:r>
    </w:p>
    <w:p w14:paraId="542387D0" w14:textId="21DE41B8" w:rsidR="00FC5528" w:rsidRDefault="00FC5528" w:rsidP="00FC552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TM3 Rank2 8Rx demodulation simulation result: 16QAM ½ rate EVA70 low correlation</w:t>
      </w:r>
    </w:p>
    <w:p w14:paraId="668BE471" w14:textId="74593508" w:rsidR="00134144" w:rsidRDefault="00134144" w:rsidP="00134144">
      <w:r>
        <w:t xml:space="preserve">It is noted that simulation assumptions for rank&gt;4 TDD and SDR tests are not complete in [4] hence further simulation results are not provided. </w:t>
      </w:r>
    </w:p>
    <w:p w14:paraId="1D547B01" w14:textId="026D6AAF" w:rsidR="00134144" w:rsidRPr="00134144" w:rsidRDefault="00134144" w:rsidP="00134144">
      <w:r>
        <w:rPr>
          <w:b/>
        </w:rPr>
        <w:t>Proposal 1. Solidify simulation assumptions for 8Rx TDD tests.</w:t>
      </w:r>
    </w:p>
    <w:p w14:paraId="04FDDCD3" w14:textId="4D32D3F0" w:rsidR="003043A1" w:rsidRDefault="003043A1" w:rsidP="003043A1">
      <w:pPr>
        <w:pStyle w:val="Heading1"/>
        <w:rPr>
          <w:lang w:val="en-US"/>
        </w:rPr>
      </w:pPr>
      <w:r>
        <w:rPr>
          <w:lang w:val="en-US"/>
        </w:rPr>
        <w:t>8Rx demodulation requirements</w:t>
      </w:r>
    </w:p>
    <w:p w14:paraId="4BF86E17" w14:textId="45CEF716" w:rsidR="00E343D3" w:rsidRDefault="003043A1" w:rsidP="00E343D3">
      <w:pPr>
        <w:rPr>
          <w:lang w:val="en-US"/>
        </w:rPr>
      </w:pPr>
      <w:r>
        <w:rPr>
          <w:lang w:val="en-US"/>
        </w:rPr>
        <w:t>3GPP has defined band classes</w:t>
      </w:r>
      <w:r w:rsidR="00A65A8F">
        <w:rPr>
          <w:lang w:val="en-US"/>
        </w:rPr>
        <w:t xml:space="preserve"> 41, 42, and 43 in Release 15 as band classes that support 8Rx. These band classes are all TDD. </w:t>
      </w:r>
    </w:p>
    <w:p w14:paraId="3A5B4564" w14:textId="1CE21FA7" w:rsidR="00DF39A8" w:rsidRDefault="00A65A8F" w:rsidP="00E343D3">
      <w:pPr>
        <w:rPr>
          <w:b/>
        </w:rPr>
      </w:pPr>
      <w:r>
        <w:rPr>
          <w:b/>
        </w:rPr>
        <w:t xml:space="preserve">Observation 2. In Release 15, only TDD band classes are defined to support 8Rx. </w:t>
      </w:r>
    </w:p>
    <w:p w14:paraId="349D4104" w14:textId="6A0D8FA1" w:rsidR="00A65A8F" w:rsidRDefault="00A65A8F" w:rsidP="00E343D3">
      <w:pPr>
        <w:rPr>
          <w:lang w:val="en-US"/>
        </w:rPr>
      </w:pPr>
      <w:r>
        <w:rPr>
          <w:lang w:val="en-US"/>
        </w:rPr>
        <w:t xml:space="preserve">Based on this observation, we propose to define 8Rx demodulation requirements only for TDD and use FDD simulation results for alignment purposes only. Defining FDD demodulation requirements can be deferred to future releases when and if FDD band classes with 8Rx support are defined. </w:t>
      </w:r>
    </w:p>
    <w:p w14:paraId="254BF473" w14:textId="04E71343" w:rsidR="00A65A8F" w:rsidRPr="00E343D3" w:rsidRDefault="00A65A8F" w:rsidP="00E343D3">
      <w:pPr>
        <w:rPr>
          <w:lang w:val="en-US"/>
        </w:rPr>
      </w:pPr>
      <w:r>
        <w:rPr>
          <w:b/>
        </w:rPr>
        <w:t xml:space="preserve">Proposal </w:t>
      </w:r>
      <w:r w:rsidR="00134144">
        <w:rPr>
          <w:b/>
        </w:rPr>
        <w:t>2</w:t>
      </w:r>
      <w:r>
        <w:rPr>
          <w:b/>
        </w:rPr>
        <w:t>. 8Rx demodulation requirements should be defined for TDD only. FDD requirements can be deferred to future releases when/if FDD band classes with 8Rx support are defined.</w:t>
      </w:r>
    </w:p>
    <w:p w14:paraId="05109B46" w14:textId="20224647" w:rsidR="00F2107A" w:rsidRDefault="0032488E" w:rsidP="005D6C7D">
      <w:pPr>
        <w:pStyle w:val="Heading1"/>
        <w:rPr>
          <w:lang w:val="en-US"/>
        </w:rPr>
      </w:pPr>
      <w:r>
        <w:rPr>
          <w:lang w:val="en-US"/>
        </w:rPr>
        <w:t>Con</w:t>
      </w:r>
      <w:r w:rsidR="00F2107A">
        <w:rPr>
          <w:lang w:val="en-US"/>
        </w:rPr>
        <w:t>clusions</w:t>
      </w:r>
    </w:p>
    <w:p w14:paraId="30753347" w14:textId="0C4B1B8E" w:rsidR="00C34D58" w:rsidRDefault="00C34D58" w:rsidP="00C34D58">
      <w:pPr>
        <w:rPr>
          <w:b/>
        </w:rPr>
      </w:pPr>
      <w:r>
        <w:rPr>
          <w:b/>
        </w:rPr>
        <w:t>Observation 1. Without considering the implementation margin, 70% of the maximum configured throughput can be achieved at the SNR of -0.5dB and 2.5dB for TDD TM2 and TM3 8Rx test cases, respectively.</w:t>
      </w:r>
    </w:p>
    <w:p w14:paraId="386CDB72" w14:textId="0DF6E5D6" w:rsidR="00134144" w:rsidRPr="00134144" w:rsidRDefault="00134144" w:rsidP="00C34D58">
      <w:r>
        <w:rPr>
          <w:b/>
        </w:rPr>
        <w:t>Proposal 1. Solidify simulation assumptions for 8Rx TDD tests to enable proceeding with simulating all tests.</w:t>
      </w:r>
    </w:p>
    <w:p w14:paraId="0D523EC3" w14:textId="77777777" w:rsidR="00C34D58" w:rsidRDefault="00C34D58" w:rsidP="00C34D58">
      <w:pPr>
        <w:rPr>
          <w:b/>
        </w:rPr>
      </w:pPr>
      <w:r>
        <w:rPr>
          <w:b/>
        </w:rPr>
        <w:t xml:space="preserve">Observation 2. In Release 15, only TDD band classes are defined to support 8Rx. </w:t>
      </w:r>
    </w:p>
    <w:p w14:paraId="6D1D4427" w14:textId="376DA06F" w:rsidR="00CD68EB" w:rsidRPr="00F81652" w:rsidRDefault="00C34D58" w:rsidP="00F81652">
      <w:pPr>
        <w:rPr>
          <w:lang w:val="en-US"/>
        </w:rPr>
      </w:pPr>
      <w:r>
        <w:rPr>
          <w:b/>
        </w:rPr>
        <w:t xml:space="preserve">Proposal </w:t>
      </w:r>
      <w:r w:rsidR="00134144">
        <w:rPr>
          <w:b/>
        </w:rPr>
        <w:t>2</w:t>
      </w:r>
      <w:r>
        <w:rPr>
          <w:b/>
        </w:rPr>
        <w:t>. 8Rx demodulation requirements should be defined for TDD only. FDD requirements can be deferred to future releases when/if FDD band classes with 8Rx support are defined.</w:t>
      </w:r>
    </w:p>
    <w:p w14:paraId="0C633F9D" w14:textId="77777777" w:rsidR="00797CE5" w:rsidRDefault="00797CE5" w:rsidP="006050F7">
      <w:pPr>
        <w:pStyle w:val="Heading1"/>
        <w:numPr>
          <w:ilvl w:val="0"/>
          <w:numId w:val="0"/>
        </w:numPr>
        <w:rPr>
          <w:lang w:val="en-US"/>
        </w:rPr>
      </w:pPr>
      <w:r>
        <w:rPr>
          <w:lang w:val="en-US"/>
        </w:rPr>
        <w:lastRenderedPageBreak/>
        <w:t>References</w:t>
      </w:r>
    </w:p>
    <w:p w14:paraId="350E431A" w14:textId="38D7BCFC" w:rsidR="00690DA5" w:rsidRPr="006D1E02" w:rsidRDefault="006D1E02" w:rsidP="00797CE5">
      <w:pPr>
        <w:rPr>
          <w:lang w:val="en-US"/>
        </w:rPr>
      </w:pPr>
      <w:r>
        <w:t>[1] R4-1807964</w:t>
      </w:r>
      <w:bookmarkStart w:id="0" w:name="_GoBack"/>
      <w:bookmarkEnd w:id="0"/>
    </w:p>
    <w:p w14:paraId="6440BDE4" w14:textId="5D0C6D0D" w:rsidR="00B66434" w:rsidRDefault="00B66434" w:rsidP="00797CE5">
      <w:r>
        <w:t xml:space="preserve">[2] </w:t>
      </w:r>
      <w:r w:rsidR="006D1E02">
        <w:t>R4-1810536</w:t>
      </w:r>
    </w:p>
    <w:p w14:paraId="6ED41B98" w14:textId="13E2D099" w:rsidR="00FC580D" w:rsidRDefault="00FC580D" w:rsidP="00797CE5">
      <w:r>
        <w:t xml:space="preserve">[3] </w:t>
      </w:r>
      <w:r w:rsidR="006D1E02">
        <w:t>R4-1813492</w:t>
      </w:r>
      <w:r>
        <w:t xml:space="preserve"> </w:t>
      </w:r>
    </w:p>
    <w:p w14:paraId="7F694C8E" w14:textId="569E0503" w:rsidR="00835227" w:rsidRDefault="00835227" w:rsidP="00797CE5">
      <w:r>
        <w:t>[4] R4-1814245</w:t>
      </w:r>
    </w:p>
    <w:p w14:paraId="42C8D945" w14:textId="5F48DC8D" w:rsidR="00527277" w:rsidRDefault="00527277" w:rsidP="00797CE5"/>
    <w:p w14:paraId="05891966" w14:textId="71FF9CDC" w:rsidR="00FC7471" w:rsidRDefault="00FC7471" w:rsidP="00797CE5">
      <w:pPr>
        <w:rPr>
          <w:lang w:val="en-US"/>
        </w:rPr>
      </w:pPr>
    </w:p>
    <w:sectPr w:rsidR="00FC7471"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2C75B" w14:textId="77777777" w:rsidR="00032D16" w:rsidRDefault="00032D16">
      <w:r>
        <w:separator/>
      </w:r>
    </w:p>
  </w:endnote>
  <w:endnote w:type="continuationSeparator" w:id="0">
    <w:p w14:paraId="13A86FE8" w14:textId="77777777" w:rsidR="00032D16" w:rsidRDefault="0003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B0E65" w14:textId="77777777" w:rsidR="00032D16" w:rsidRDefault="00032D16">
      <w:r>
        <w:separator/>
      </w:r>
    </w:p>
  </w:footnote>
  <w:footnote w:type="continuationSeparator" w:id="0">
    <w:p w14:paraId="03ABE06E" w14:textId="77777777" w:rsidR="00032D16" w:rsidRDefault="00032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207B5"/>
    <w:multiLevelType w:val="hybridMultilevel"/>
    <w:tmpl w:val="5A144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3195D"/>
    <w:multiLevelType w:val="hybridMultilevel"/>
    <w:tmpl w:val="68C4A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0C43B1"/>
    <w:multiLevelType w:val="hybridMultilevel"/>
    <w:tmpl w:val="61A8D73C"/>
    <w:lvl w:ilvl="0" w:tplc="E3CCB16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425DA1"/>
    <w:multiLevelType w:val="hybridMultilevel"/>
    <w:tmpl w:val="58AE7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B0856"/>
    <w:multiLevelType w:val="hybridMultilevel"/>
    <w:tmpl w:val="5ABA0192"/>
    <w:lvl w:ilvl="0" w:tplc="87D20990">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8065F"/>
    <w:multiLevelType w:val="hybridMultilevel"/>
    <w:tmpl w:val="1344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45426"/>
    <w:multiLevelType w:val="hybridMultilevel"/>
    <w:tmpl w:val="F1C00A94"/>
    <w:lvl w:ilvl="0" w:tplc="E500F13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67B38"/>
    <w:multiLevelType w:val="hybridMultilevel"/>
    <w:tmpl w:val="E99ED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7536B5"/>
    <w:multiLevelType w:val="hybridMultilevel"/>
    <w:tmpl w:val="FF4C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2"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3"/>
  </w:num>
  <w:num w:numId="3">
    <w:abstractNumId w:val="39"/>
  </w:num>
  <w:num w:numId="4">
    <w:abstractNumId w:val="15"/>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7"/>
  </w:num>
  <w:num w:numId="8">
    <w:abstractNumId w:val="22"/>
  </w:num>
  <w:num w:numId="9">
    <w:abstractNumId w:val="23"/>
  </w:num>
  <w:num w:numId="10">
    <w:abstractNumId w:val="21"/>
  </w:num>
  <w:num w:numId="11">
    <w:abstractNumId w:val="42"/>
  </w:num>
  <w:num w:numId="12">
    <w:abstractNumId w:val="27"/>
  </w:num>
  <w:num w:numId="13">
    <w:abstractNumId w:val="34"/>
  </w:num>
  <w:num w:numId="14">
    <w:abstractNumId w:val="25"/>
  </w:num>
  <w:num w:numId="15">
    <w:abstractNumId w:val="43"/>
  </w:num>
  <w:num w:numId="16">
    <w:abstractNumId w:val="38"/>
  </w:num>
  <w:num w:numId="17">
    <w:abstractNumId w:val="36"/>
  </w:num>
  <w:num w:numId="18">
    <w:abstractNumId w:val="16"/>
  </w:num>
  <w:num w:numId="19">
    <w:abstractNumId w:val="28"/>
  </w:num>
  <w:num w:numId="20">
    <w:abstractNumId w:val="3"/>
  </w:num>
  <w:num w:numId="21">
    <w:abstractNumId w:val="32"/>
  </w:num>
  <w:num w:numId="22">
    <w:abstractNumId w:val="0"/>
  </w:num>
  <w:num w:numId="23">
    <w:abstractNumId w:val="30"/>
  </w:num>
  <w:num w:numId="24">
    <w:abstractNumId w:val="26"/>
  </w:num>
  <w:num w:numId="25">
    <w:abstractNumId w:val="9"/>
  </w:num>
  <w:num w:numId="26">
    <w:abstractNumId w:val="31"/>
  </w:num>
  <w:num w:numId="27">
    <w:abstractNumId w:val="11"/>
  </w:num>
  <w:num w:numId="28">
    <w:abstractNumId w:val="8"/>
  </w:num>
  <w:num w:numId="29">
    <w:abstractNumId w:val="18"/>
  </w:num>
  <w:num w:numId="30">
    <w:abstractNumId w:val="20"/>
  </w:num>
  <w:num w:numId="31">
    <w:abstractNumId w:val="4"/>
  </w:num>
  <w:num w:numId="32">
    <w:abstractNumId w:val="40"/>
  </w:num>
  <w:num w:numId="33">
    <w:abstractNumId w:val="7"/>
  </w:num>
  <w:num w:numId="34">
    <w:abstractNumId w:val="19"/>
  </w:num>
  <w:num w:numId="35">
    <w:abstractNumId w:val="41"/>
  </w:num>
  <w:num w:numId="36">
    <w:abstractNumId w:val="13"/>
  </w:num>
  <w:num w:numId="37">
    <w:abstractNumId w:val="21"/>
  </w:num>
  <w:num w:numId="38">
    <w:abstractNumId w:val="21"/>
  </w:num>
  <w:num w:numId="39">
    <w:abstractNumId w:val="17"/>
  </w:num>
  <w:num w:numId="40">
    <w:abstractNumId w:val="10"/>
  </w:num>
  <w:num w:numId="41">
    <w:abstractNumId w:val="12"/>
  </w:num>
  <w:num w:numId="42">
    <w:abstractNumId w:val="24"/>
  </w:num>
  <w:num w:numId="43">
    <w:abstractNumId w:val="29"/>
  </w:num>
  <w:num w:numId="44">
    <w:abstractNumId w:val="14"/>
  </w:num>
  <w:num w:numId="45">
    <w:abstractNumId w:val="6"/>
  </w:num>
  <w:num w:numId="4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2D1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144"/>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3A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1E02"/>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227"/>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5A8F"/>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A15"/>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381B"/>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4D58"/>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9A8"/>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3D3"/>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26D"/>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19"/>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528"/>
    <w:rsid w:val="00FC580D"/>
    <w:rsid w:val="00FC5AA5"/>
    <w:rsid w:val="00FC5C8E"/>
    <w:rsid w:val="00FC5DA2"/>
    <w:rsid w:val="00FC6030"/>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EDF9E13F-1A65-4147-94AE-58D709A39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7047058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157276">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989827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899970811">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EAD1D-7615-46D1-96EC-56BF712C8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49</TotalTime>
  <Pages>3</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cp:revision>
  <cp:lastPrinted>2009-04-22T21:01:00Z</cp:lastPrinted>
  <dcterms:created xsi:type="dcterms:W3CDTF">2018-10-25T17:40:00Z</dcterms:created>
  <dcterms:modified xsi:type="dcterms:W3CDTF">2018-11-02T20:47:00Z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